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51F8B" w14:textId="07734C03" w:rsidR="002929B1" w:rsidRPr="0070107F" w:rsidRDefault="001A225F" w:rsidP="005256D6">
      <w:pPr>
        <w:jc w:val="center"/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Advice: </w:t>
      </w:r>
      <w:r w:rsidR="00666426" w:rsidRPr="0070107F">
        <w:rPr>
          <w:b/>
          <w:color w:val="0070C0"/>
          <w:sz w:val="24"/>
        </w:rPr>
        <w:t>Application process to Environmental Protection Authority (EPA) in NZ.</w:t>
      </w:r>
    </w:p>
    <w:p w14:paraId="320516D1" w14:textId="5A22A550" w:rsidR="00666426" w:rsidRDefault="00666426" w:rsidP="00666426">
      <w:pPr>
        <w:jc w:val="center"/>
        <w:rPr>
          <w:b/>
        </w:rPr>
      </w:pPr>
      <w:r>
        <w:rPr>
          <w:b/>
        </w:rPr>
        <w:t>Prepared by Richard Stubbs, P3 Research Ltd</w:t>
      </w:r>
      <w:r w:rsidR="005256D6">
        <w:rPr>
          <w:b/>
        </w:rPr>
        <w:t>,</w:t>
      </w:r>
      <w:r>
        <w:rPr>
          <w:b/>
        </w:rPr>
        <w:t xml:space="preserve"> </w:t>
      </w:r>
      <w:r w:rsidR="001A225F">
        <w:rPr>
          <w:b/>
        </w:rPr>
        <w:t xml:space="preserve">immediate Past President </w:t>
      </w:r>
      <w:r>
        <w:rPr>
          <w:b/>
        </w:rPr>
        <w:t>NZACRes</w:t>
      </w:r>
    </w:p>
    <w:p w14:paraId="26C9DBEF" w14:textId="29072CED" w:rsidR="00666426" w:rsidRDefault="00666426" w:rsidP="00666426">
      <w:pPr>
        <w:jc w:val="center"/>
        <w:rPr>
          <w:b/>
        </w:rPr>
      </w:pPr>
    </w:p>
    <w:p w14:paraId="1353566B" w14:textId="0A775D4C" w:rsidR="00666426" w:rsidRDefault="00666426" w:rsidP="00666426">
      <w:pPr>
        <w:rPr>
          <w:b/>
        </w:rPr>
      </w:pPr>
      <w:r w:rsidRPr="00666426">
        <w:rPr>
          <w:b/>
        </w:rPr>
        <w:t>The HSNO Act 1996 dictates that substance</w:t>
      </w:r>
      <w:r w:rsidR="00206281">
        <w:rPr>
          <w:b/>
        </w:rPr>
        <w:t>s</w:t>
      </w:r>
      <w:r w:rsidRPr="00666426">
        <w:rPr>
          <w:b/>
        </w:rPr>
        <w:t xml:space="preserve"> containing a new organism or genetically modified organism, not present in NZ prior to </w:t>
      </w:r>
      <w:r w:rsidR="005256D6">
        <w:rPr>
          <w:b/>
        </w:rPr>
        <w:t xml:space="preserve">July </w:t>
      </w:r>
      <w:r w:rsidRPr="00666426">
        <w:rPr>
          <w:b/>
        </w:rPr>
        <w:t>199</w:t>
      </w:r>
      <w:r w:rsidR="005256D6">
        <w:rPr>
          <w:b/>
        </w:rPr>
        <w:t>8</w:t>
      </w:r>
      <w:r w:rsidRPr="00666426">
        <w:rPr>
          <w:b/>
        </w:rPr>
        <w:t xml:space="preserve">, must be approved for importation by the EPA. This will include many new vaccines </w:t>
      </w:r>
      <w:r w:rsidR="00206281">
        <w:rPr>
          <w:b/>
        </w:rPr>
        <w:t>employing</w:t>
      </w:r>
      <w:r w:rsidRPr="00666426">
        <w:rPr>
          <w:b/>
        </w:rPr>
        <w:t xml:space="preserve"> genetic engineering of live, attenuated organisms.</w:t>
      </w:r>
    </w:p>
    <w:p w14:paraId="6366DC2E" w14:textId="6CEB0726" w:rsidR="00666426" w:rsidRDefault="00666426" w:rsidP="00877D10">
      <w:pPr>
        <w:spacing w:before="240"/>
        <w:rPr>
          <w:b/>
        </w:rPr>
      </w:pPr>
      <w:r>
        <w:rPr>
          <w:b/>
        </w:rPr>
        <w:t>The process</w:t>
      </w:r>
      <w:r w:rsidR="00877D10">
        <w:rPr>
          <w:b/>
        </w:rPr>
        <w:t xml:space="preserve">: </w:t>
      </w:r>
      <w:hyperlink r:id="rId7" w:history="1">
        <w:r w:rsidR="00877D10" w:rsidRPr="00673B1E">
          <w:rPr>
            <w:rStyle w:val="Hyperlink"/>
          </w:rPr>
          <w:t>https://www.epa.govt.nz/industry-areas/new-organisms/applying-for-approval/what-are-the-steps-for-processing-an-application/</w:t>
        </w:r>
      </w:hyperlink>
    </w:p>
    <w:p w14:paraId="633B1DCD" w14:textId="11C3AEA5" w:rsidR="00860135" w:rsidRDefault="00860135" w:rsidP="00666426">
      <w:r>
        <w:t xml:space="preserve">There is a </w:t>
      </w:r>
      <w:r w:rsidRPr="001F74FF">
        <w:rPr>
          <w:b/>
          <w:i/>
        </w:rPr>
        <w:t>pre</w:t>
      </w:r>
      <w:r w:rsidR="001F74FF" w:rsidRPr="001F74FF">
        <w:rPr>
          <w:b/>
          <w:i/>
        </w:rPr>
        <w:t xml:space="preserve"> </w:t>
      </w:r>
      <w:r w:rsidRPr="001F74FF">
        <w:rPr>
          <w:b/>
          <w:i/>
        </w:rPr>
        <w:t xml:space="preserve">application </w:t>
      </w:r>
      <w:r w:rsidR="001F74FF" w:rsidRPr="001F74FF">
        <w:rPr>
          <w:b/>
          <w:i/>
        </w:rPr>
        <w:t>process</w:t>
      </w:r>
      <w:r w:rsidR="001F74FF">
        <w:t xml:space="preserve"> which will be of unspecified duration (can be reasonably quick o</w:t>
      </w:r>
      <w:r w:rsidR="00206281">
        <w:t>r</w:t>
      </w:r>
      <w:r w:rsidR="001F74FF">
        <w:t xml:space="preserve"> very slow), during which time the EPA scientists should be in direct communication with the Sponsor’s scientists, with many rounds of questions and answers</w:t>
      </w:r>
      <w:r w:rsidR="00206281">
        <w:t xml:space="preserve"> to be expected</w:t>
      </w:r>
      <w:r w:rsidR="001F74FF">
        <w:t xml:space="preserve">. The object of this process is to allow the EPA to assist the sponsor to craft their formal application in such a way that it has the best chance of success. </w:t>
      </w:r>
      <w:r w:rsidR="00206281">
        <w:t xml:space="preserve">This should be viewed as a constructive process between scientists and one that requires open and full disclosure of information regarding the new organism. </w:t>
      </w:r>
      <w:r w:rsidR="005C505C">
        <w:t>This process should be initiated as soon as there is serious thought</w:t>
      </w:r>
      <w:r w:rsidR="00ED0C28">
        <w:t xml:space="preserve"> being</w:t>
      </w:r>
      <w:r w:rsidR="005C505C">
        <w:t xml:space="preserve"> given to involving NZ in a future trial. It </w:t>
      </w:r>
      <w:r w:rsidR="00206281">
        <w:t>may not</w:t>
      </w:r>
      <w:r w:rsidR="005C505C">
        <w:t xml:space="preserve"> always</w:t>
      </w:r>
      <w:r w:rsidR="00206281">
        <w:t xml:space="preserve"> be </w:t>
      </w:r>
      <w:r w:rsidR="005C505C">
        <w:t>followed by a formal application.</w:t>
      </w:r>
    </w:p>
    <w:p w14:paraId="113F146F" w14:textId="11674D82" w:rsidR="00666426" w:rsidRPr="002A5226" w:rsidRDefault="001F74FF">
      <w:r>
        <w:t xml:space="preserve">Once the pre-application process is complete </w:t>
      </w:r>
      <w:r w:rsidRPr="005C505C">
        <w:rPr>
          <w:b/>
        </w:rPr>
        <w:t>a</w:t>
      </w:r>
      <w:r>
        <w:t xml:space="preserve"> </w:t>
      </w:r>
      <w:r w:rsidR="005C505C" w:rsidRPr="001F74FF">
        <w:rPr>
          <w:b/>
          <w:i/>
        </w:rPr>
        <w:t>formal application</w:t>
      </w:r>
      <w:r w:rsidR="005C505C">
        <w:t xml:space="preserve"> may be lodged </w:t>
      </w:r>
      <w:r>
        <w:t xml:space="preserve">and statutory timelines come into play. A decision will be made by EPA after receipt of the formal application as to the pathway that will be followed, based on a defined set of criteria. For GM medicines and vaccines, </w:t>
      </w:r>
      <w:r w:rsidR="00206281">
        <w:t xml:space="preserve">a non-notified pathway is most likely to apply and possibly the </w:t>
      </w:r>
      <w:r>
        <w:t xml:space="preserve">HSNO rapid application process will </w:t>
      </w:r>
      <w:r w:rsidR="00206281">
        <w:t>apply. In this case the</w:t>
      </w:r>
      <w:r>
        <w:t xml:space="preserve"> statutory time frame for the decision to be made</w:t>
      </w:r>
      <w:r w:rsidR="005C505C">
        <w:t xml:space="preserve"> is </w:t>
      </w:r>
      <w:r>
        <w:t>within 10 days</w:t>
      </w:r>
      <w:r w:rsidR="00DA5A2D">
        <w:t xml:space="preserve"> of formal receipt of the application (ie confirmation of complete application and receipt of payment)</w:t>
      </w:r>
      <w:r>
        <w:t xml:space="preserve">, </w:t>
      </w:r>
      <w:r w:rsidR="00DA5A2D">
        <w:t xml:space="preserve">followed by another 10 days for both </w:t>
      </w:r>
      <w:r>
        <w:t>the applicant and Public to be notified</w:t>
      </w:r>
      <w:r w:rsidR="00DA5A2D">
        <w:t>.</w:t>
      </w:r>
      <w:r w:rsidR="001C4410">
        <w:t xml:space="preserve"> (see overleaf for the steps involved in the HSNO rapid application process)</w:t>
      </w:r>
      <w:r w:rsidR="00B2658A">
        <w:t xml:space="preserve">. Other pathways will take longer. </w:t>
      </w:r>
    </w:p>
    <w:p w14:paraId="56F8A7F0" w14:textId="514EC0A0" w:rsidR="00666426" w:rsidRDefault="00DA5A2D">
      <w:pPr>
        <w:rPr>
          <w:b/>
        </w:rPr>
      </w:pPr>
      <w:r>
        <w:rPr>
          <w:b/>
        </w:rPr>
        <w:t>Keys to success in the pre-application phase</w:t>
      </w:r>
    </w:p>
    <w:p w14:paraId="5540A51F" w14:textId="2A1BA02E" w:rsidR="00DA5A2D" w:rsidRPr="001C4410" w:rsidRDefault="00DA5A2D" w:rsidP="00DA5A2D">
      <w:pPr>
        <w:pStyle w:val="ListParagraph"/>
        <w:numPr>
          <w:ilvl w:val="0"/>
          <w:numId w:val="1"/>
        </w:numPr>
      </w:pPr>
      <w:r w:rsidRPr="001C4410">
        <w:t>Early engagement – scientist to scientist (not Regulatory or Clinical Research Dept or CRO)</w:t>
      </w:r>
    </w:p>
    <w:p w14:paraId="507C8ECE" w14:textId="77777777" w:rsidR="00DA5A2D" w:rsidRPr="001C4410" w:rsidRDefault="00DA5A2D" w:rsidP="00DA5A2D">
      <w:pPr>
        <w:pStyle w:val="ListParagraph"/>
        <w:numPr>
          <w:ilvl w:val="0"/>
          <w:numId w:val="1"/>
        </w:numPr>
      </w:pPr>
      <w:r w:rsidRPr="001C4410">
        <w:t>Begin with a phone call or email outlining that consideration is being given to a full application</w:t>
      </w:r>
    </w:p>
    <w:p w14:paraId="40CD2CCB" w14:textId="557F6839" w:rsidR="00DA5A2D" w:rsidRPr="001C4410" w:rsidRDefault="00DA5A2D" w:rsidP="00DA5A2D">
      <w:pPr>
        <w:pStyle w:val="ListParagraph"/>
        <w:numPr>
          <w:ilvl w:val="0"/>
          <w:numId w:val="1"/>
        </w:numPr>
      </w:pPr>
      <w:r w:rsidRPr="001C4410">
        <w:t>Recognition by sponsor that confidentiality is paramount for the EPA</w:t>
      </w:r>
    </w:p>
    <w:p w14:paraId="1EF94885" w14:textId="77777777" w:rsidR="00DA5A2D" w:rsidRPr="001C4410" w:rsidRDefault="00DA5A2D" w:rsidP="00DA5A2D">
      <w:pPr>
        <w:pStyle w:val="ListParagraph"/>
        <w:numPr>
          <w:ilvl w:val="0"/>
          <w:numId w:val="1"/>
        </w:numPr>
      </w:pPr>
      <w:r w:rsidRPr="001C4410">
        <w:t xml:space="preserve">There will be multiple rounds of questions and answers </w:t>
      </w:r>
    </w:p>
    <w:p w14:paraId="188087B7" w14:textId="77777777" w:rsidR="00DA5A2D" w:rsidRPr="001C4410" w:rsidRDefault="00DA5A2D" w:rsidP="00DA5A2D">
      <w:pPr>
        <w:pStyle w:val="ListParagraph"/>
        <w:numPr>
          <w:ilvl w:val="0"/>
          <w:numId w:val="1"/>
        </w:numPr>
      </w:pPr>
      <w:r w:rsidRPr="001C4410">
        <w:t>Each application is likely to be different, and treated as such</w:t>
      </w:r>
    </w:p>
    <w:p w14:paraId="13CE486C" w14:textId="6C1589FC" w:rsidR="00DA5A2D" w:rsidRPr="001C4410" w:rsidRDefault="00DA5A2D" w:rsidP="00DA5A2D">
      <w:pPr>
        <w:pStyle w:val="ListParagraph"/>
        <w:numPr>
          <w:ilvl w:val="0"/>
          <w:numId w:val="1"/>
        </w:numPr>
      </w:pPr>
      <w:r w:rsidRPr="001C4410">
        <w:t>All relevant matters should be answered as fully and openly as possible</w:t>
      </w:r>
    </w:p>
    <w:p w14:paraId="43382107" w14:textId="4123B32B" w:rsidR="00DA5A2D" w:rsidRPr="001C4410" w:rsidRDefault="00DA5A2D" w:rsidP="00DA5A2D">
      <w:pPr>
        <w:pStyle w:val="ListParagraph"/>
        <w:numPr>
          <w:ilvl w:val="0"/>
          <w:numId w:val="1"/>
        </w:numPr>
      </w:pPr>
      <w:r w:rsidRPr="001C4410">
        <w:t>Be prepared to share information given and received in other jurisdictions</w:t>
      </w:r>
    </w:p>
    <w:p w14:paraId="0686EE42" w14:textId="4D2DE242" w:rsidR="005C505C" w:rsidRPr="002A5226" w:rsidRDefault="005C505C" w:rsidP="005C505C">
      <w:pPr>
        <w:pStyle w:val="ListParagraph"/>
        <w:numPr>
          <w:ilvl w:val="0"/>
          <w:numId w:val="1"/>
        </w:numPr>
      </w:pPr>
      <w:r w:rsidRPr="001C4410">
        <w:t xml:space="preserve">The risk assessment process begins during this pre-application phase and will inform the final </w:t>
      </w:r>
      <w:r w:rsidR="001C4410" w:rsidRPr="001C4410">
        <w:t xml:space="preserve">risk </w:t>
      </w:r>
      <w:r w:rsidRPr="001C4410">
        <w:t>assessment given to the formal application</w:t>
      </w:r>
      <w:r w:rsidR="001C4410" w:rsidRPr="001C4410">
        <w:t>, upon which a decision will be made.</w:t>
      </w:r>
    </w:p>
    <w:p w14:paraId="2A1142C4" w14:textId="35705847" w:rsidR="005C505C" w:rsidRDefault="005C505C" w:rsidP="005C505C">
      <w:pPr>
        <w:rPr>
          <w:b/>
        </w:rPr>
      </w:pPr>
      <w:r>
        <w:rPr>
          <w:b/>
        </w:rPr>
        <w:t>Remember</w:t>
      </w:r>
    </w:p>
    <w:p w14:paraId="31F76141" w14:textId="00B739D9" w:rsidR="005C505C" w:rsidRPr="001C4410" w:rsidRDefault="005C505C" w:rsidP="005C505C">
      <w:pPr>
        <w:pStyle w:val="ListParagraph"/>
        <w:numPr>
          <w:ilvl w:val="0"/>
          <w:numId w:val="2"/>
        </w:numPr>
      </w:pPr>
      <w:r w:rsidRPr="001C4410">
        <w:t>The EPA scientists are there to help … don’t be evasive</w:t>
      </w:r>
    </w:p>
    <w:p w14:paraId="1032E824" w14:textId="0CFBF34A" w:rsidR="005C505C" w:rsidRPr="001C4410" w:rsidRDefault="005C505C" w:rsidP="005C505C">
      <w:pPr>
        <w:pStyle w:val="ListParagraph"/>
        <w:numPr>
          <w:ilvl w:val="0"/>
          <w:numId w:val="2"/>
        </w:numPr>
      </w:pPr>
      <w:r w:rsidRPr="001C4410">
        <w:t>Full and open disclosure is essential. Confidentiality will be maintained.</w:t>
      </w:r>
    </w:p>
    <w:p w14:paraId="775DDCA4" w14:textId="08462D49" w:rsidR="005C505C" w:rsidRPr="001C4410" w:rsidRDefault="005C505C" w:rsidP="005C505C">
      <w:pPr>
        <w:pStyle w:val="ListParagraph"/>
        <w:numPr>
          <w:ilvl w:val="0"/>
          <w:numId w:val="2"/>
        </w:numPr>
      </w:pPr>
      <w:r w:rsidRPr="001C4410">
        <w:t>The EPA scientists like these applications, as they often involve cutting edge technology</w:t>
      </w:r>
    </w:p>
    <w:p w14:paraId="0743FEFC" w14:textId="38B1187A" w:rsidR="005C505C" w:rsidRPr="001C4410" w:rsidRDefault="005C505C" w:rsidP="005C505C">
      <w:pPr>
        <w:pStyle w:val="ListParagraph"/>
        <w:numPr>
          <w:ilvl w:val="0"/>
          <w:numId w:val="2"/>
        </w:numPr>
      </w:pPr>
      <w:r w:rsidRPr="001C4410">
        <w:t xml:space="preserve">The purpose of this pre-application stage is to give the formal application the best chance of success </w:t>
      </w:r>
    </w:p>
    <w:p w14:paraId="7D04DBCE" w14:textId="03625F60" w:rsidR="005C505C" w:rsidRPr="001C4410" w:rsidRDefault="005C505C" w:rsidP="005C505C">
      <w:pPr>
        <w:pStyle w:val="ListParagraph"/>
        <w:numPr>
          <w:ilvl w:val="0"/>
          <w:numId w:val="2"/>
        </w:numPr>
      </w:pPr>
      <w:r w:rsidRPr="001C4410">
        <w:lastRenderedPageBreak/>
        <w:t>Expect that some lengthy international phone calls are likely to be necessary</w:t>
      </w:r>
    </w:p>
    <w:p w14:paraId="3D4525E7" w14:textId="24D3F193" w:rsidR="00206281" w:rsidRPr="002A5226" w:rsidRDefault="005C505C" w:rsidP="0020628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In the face of uncertainty, the HSNO Act requires the EPA to take a precautionary approach</w:t>
      </w:r>
      <w:bookmarkStart w:id="0" w:name="_GoBack"/>
      <w:bookmarkEnd w:id="0"/>
    </w:p>
    <w:p w14:paraId="22909409" w14:textId="341752B6" w:rsidR="00206281" w:rsidRPr="00206281" w:rsidRDefault="00206281" w:rsidP="00206281">
      <w:pPr>
        <w:ind w:left="720"/>
        <w:rPr>
          <w:b/>
        </w:rPr>
      </w:pPr>
      <w:r w:rsidRPr="00206281">
        <w:rPr>
          <w:b/>
          <w:noProof/>
          <w:lang w:eastAsia="zh-CN"/>
        </w:rPr>
        <w:drawing>
          <wp:inline distT="0" distB="0" distL="0" distR="0" wp14:anchorId="1E814DD7" wp14:editId="36FB6CF7">
            <wp:extent cx="4311650" cy="701013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198" cy="702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6281" w:rsidRPr="002062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71444" w14:textId="77777777" w:rsidR="00B40D6A" w:rsidRDefault="00B40D6A" w:rsidP="002A5226">
      <w:pPr>
        <w:spacing w:after="0" w:line="240" w:lineRule="auto"/>
      </w:pPr>
      <w:r>
        <w:separator/>
      </w:r>
    </w:p>
  </w:endnote>
  <w:endnote w:type="continuationSeparator" w:id="0">
    <w:p w14:paraId="019D362B" w14:textId="77777777" w:rsidR="00B40D6A" w:rsidRDefault="00B40D6A" w:rsidP="002A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Microsoft YaHei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59737" w14:textId="77777777" w:rsidR="00B40D6A" w:rsidRDefault="00B40D6A" w:rsidP="002A5226">
      <w:pPr>
        <w:spacing w:after="0" w:line="240" w:lineRule="auto"/>
      </w:pPr>
      <w:r>
        <w:separator/>
      </w:r>
    </w:p>
  </w:footnote>
  <w:footnote w:type="continuationSeparator" w:id="0">
    <w:p w14:paraId="2686C305" w14:textId="77777777" w:rsidR="00B40D6A" w:rsidRDefault="00B40D6A" w:rsidP="002A5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045D5"/>
    <w:multiLevelType w:val="hybridMultilevel"/>
    <w:tmpl w:val="865288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90605"/>
    <w:multiLevelType w:val="hybridMultilevel"/>
    <w:tmpl w:val="5EB24C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26"/>
    <w:rsid w:val="001A225F"/>
    <w:rsid w:val="001C4410"/>
    <w:rsid w:val="001F74FF"/>
    <w:rsid w:val="00206281"/>
    <w:rsid w:val="002929B1"/>
    <w:rsid w:val="002A5226"/>
    <w:rsid w:val="005256D6"/>
    <w:rsid w:val="005C505C"/>
    <w:rsid w:val="00666426"/>
    <w:rsid w:val="0070107F"/>
    <w:rsid w:val="007F52D0"/>
    <w:rsid w:val="00860135"/>
    <w:rsid w:val="00877D10"/>
    <w:rsid w:val="00B2658A"/>
    <w:rsid w:val="00B40D6A"/>
    <w:rsid w:val="00DA5A2D"/>
    <w:rsid w:val="00ED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B0D0A"/>
  <w15:chartTrackingRefBased/>
  <w15:docId w15:val="{8ACB75C6-3FD1-482B-86DD-60010824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A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D1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7D1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5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226"/>
  </w:style>
  <w:style w:type="paragraph" w:styleId="Footer">
    <w:name w:val="footer"/>
    <w:basedOn w:val="Normal"/>
    <w:link w:val="FooterChar"/>
    <w:uiPriority w:val="99"/>
    <w:unhideWhenUsed/>
    <w:rsid w:val="002A5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epa.govt.nz/industry-areas/new-organisms/applying-for-approval/what-are-the-steps-for-processing-an-appli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Stubbs</dc:creator>
  <cp:keywords/>
  <dc:description/>
  <cp:lastModifiedBy>Breeze, Zoe {MACC~Auckland}</cp:lastModifiedBy>
  <cp:revision>3</cp:revision>
  <dcterms:created xsi:type="dcterms:W3CDTF">2020-01-11T23:44:00Z</dcterms:created>
  <dcterms:modified xsi:type="dcterms:W3CDTF">2020-01-11T23:50:00Z</dcterms:modified>
</cp:coreProperties>
</file>